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F93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w:t>
      </w:r>
      <w:r>
        <w:rPr>
          <w:rFonts w:hint="eastAsia"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lang w:val="en-US" w:eastAsia="zh-CN"/>
        </w:rPr>
        <w:t xml:space="preserve">章  </w:t>
      </w:r>
      <w:r>
        <w:rPr>
          <w:rFonts w:hint="eastAsia" w:ascii="Times New Roman" w:hAnsi="Times New Roman" w:eastAsia="宋体" w:cs="Times New Roman"/>
          <w:b/>
          <w:bCs/>
          <w:sz w:val="24"/>
          <w:szCs w:val="24"/>
          <w:lang w:val="en-US" w:eastAsia="zh-CN"/>
        </w:rPr>
        <w:t>恒定电流</w:t>
      </w:r>
    </w:p>
    <w:p w14:paraId="12E063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专题5  电学实验基础</w:t>
      </w:r>
    </w:p>
    <w:p w14:paraId="76F2D9AC">
      <w:pPr>
        <w:pStyle w:val="2"/>
        <w:tabs>
          <w:tab w:val="left" w:pos="3402"/>
        </w:tabs>
        <w:snapToGrid w:val="0"/>
        <w:spacing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1．电流表的接法</w:t>
      </w:r>
    </w:p>
    <w:tbl>
      <w:tblPr>
        <w:tblStyle w:val="5"/>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3405"/>
        <w:gridCol w:w="3025"/>
      </w:tblGrid>
      <w:tr w14:paraId="118D9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tcBorders>
              <w:tl2br w:val="single" w:color="auto" w:sz="4" w:space="0"/>
            </w:tcBorders>
            <w:shd w:val="clear" w:color="auto" w:fill="auto"/>
            <w:vAlign w:val="center"/>
          </w:tcPr>
          <w:p w14:paraId="11A3A87D">
            <w:pPr>
              <w:pStyle w:val="2"/>
              <w:tabs>
                <w:tab w:val="left" w:pos="3402"/>
              </w:tabs>
              <w:snapToGrid w:val="0"/>
              <w:spacing w:line="360" w:lineRule="auto"/>
              <w:jc w:val="center"/>
              <w:rPr>
                <w:rFonts w:hint="default" w:ascii="Times New Roman" w:hAnsi="Times New Roman" w:cs="Times New Roman" w:eastAsiaTheme="minorEastAsia"/>
                <w:i/>
                <w:sz w:val="21"/>
                <w:szCs w:val="21"/>
              </w:rPr>
            </w:pPr>
          </w:p>
        </w:tc>
        <w:tc>
          <w:tcPr>
            <w:tcW w:w="3405" w:type="dxa"/>
            <w:shd w:val="clear" w:color="auto" w:fill="auto"/>
            <w:vAlign w:val="center"/>
          </w:tcPr>
          <w:p w14:paraId="1E8D0888">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内接法</w:t>
            </w:r>
          </w:p>
        </w:tc>
        <w:tc>
          <w:tcPr>
            <w:tcW w:w="3025" w:type="dxa"/>
            <w:shd w:val="clear" w:color="auto" w:fill="auto"/>
            <w:vAlign w:val="center"/>
          </w:tcPr>
          <w:p w14:paraId="06DE27A9">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外接法</w:t>
            </w:r>
          </w:p>
        </w:tc>
      </w:tr>
      <w:tr w14:paraId="4D8F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729" w:type="dxa"/>
            <w:shd w:val="clear" w:color="auto" w:fill="auto"/>
            <w:vAlign w:val="center"/>
          </w:tcPr>
          <w:p w14:paraId="46F7B62C">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3405" w:type="dxa"/>
            <w:shd w:val="clear" w:color="auto" w:fill="auto"/>
            <w:vAlign w:val="center"/>
          </w:tcPr>
          <w:p w14:paraId="4E279396">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792480" cy="614680"/>
                  <wp:effectExtent l="0" t="0" r="7620" b="13970"/>
                  <wp:docPr id="78" name="图片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91"/>
                          <pic:cNvPicPr>
                            <a:picLocks noChangeAspect="1"/>
                          </pic:cNvPicPr>
                        </pic:nvPicPr>
                        <pic:blipFill>
                          <a:blip r:embed="rId6"/>
                          <a:stretch>
                            <a:fillRect/>
                          </a:stretch>
                        </pic:blipFill>
                        <pic:spPr>
                          <a:xfrm>
                            <a:off x="0" y="0"/>
                            <a:ext cx="792480" cy="614680"/>
                          </a:xfrm>
                          <a:prstGeom prst="rect">
                            <a:avLst/>
                          </a:prstGeom>
                          <a:noFill/>
                          <a:ln>
                            <a:noFill/>
                          </a:ln>
                        </pic:spPr>
                      </pic:pic>
                    </a:graphicData>
                  </a:graphic>
                </wp:inline>
              </w:drawing>
            </w:r>
          </w:p>
        </w:tc>
        <w:tc>
          <w:tcPr>
            <w:tcW w:w="3025" w:type="dxa"/>
            <w:shd w:val="clear" w:color="auto" w:fill="auto"/>
            <w:vAlign w:val="center"/>
          </w:tcPr>
          <w:p w14:paraId="1A3DC0F5">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988695" cy="615315"/>
                  <wp:effectExtent l="0" t="0" r="1905" b="13335"/>
                  <wp:docPr id="85" name="图片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92"/>
                          <pic:cNvPicPr>
                            <a:picLocks noChangeAspect="1"/>
                          </pic:cNvPicPr>
                        </pic:nvPicPr>
                        <pic:blipFill>
                          <a:blip r:embed="rId7"/>
                          <a:stretch>
                            <a:fillRect/>
                          </a:stretch>
                        </pic:blipFill>
                        <pic:spPr>
                          <a:xfrm>
                            <a:off x="0" y="0"/>
                            <a:ext cx="988695" cy="615315"/>
                          </a:xfrm>
                          <a:prstGeom prst="rect">
                            <a:avLst/>
                          </a:prstGeom>
                          <a:noFill/>
                          <a:ln>
                            <a:noFill/>
                          </a:ln>
                        </pic:spPr>
                      </pic:pic>
                    </a:graphicData>
                  </a:graphic>
                </wp:inline>
              </w:drawing>
            </w:r>
          </w:p>
        </w:tc>
      </w:tr>
      <w:tr w14:paraId="10A86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729" w:type="dxa"/>
            <w:shd w:val="clear" w:color="auto" w:fill="auto"/>
            <w:vAlign w:val="center"/>
          </w:tcPr>
          <w:p w14:paraId="184C54AF">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误差原因</w:t>
            </w:r>
          </w:p>
        </w:tc>
        <w:tc>
          <w:tcPr>
            <w:tcW w:w="3405" w:type="dxa"/>
            <w:shd w:val="clear" w:color="auto" w:fill="auto"/>
            <w:vAlign w:val="center"/>
          </w:tcPr>
          <w:p w14:paraId="4927434A">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电流表分压</w:t>
            </w:r>
          </w:p>
          <w:p w14:paraId="7767D9F6">
            <w:pPr>
              <w:pStyle w:val="2"/>
              <w:tabs>
                <w:tab w:val="left" w:pos="3402"/>
              </w:tabs>
              <w:snapToGrid w:val="0"/>
              <w:spacing w:line="360" w:lineRule="auto"/>
              <w:ind w:firstLine="1260" w:firstLineChars="600"/>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c>
          <w:tcPr>
            <w:tcW w:w="3025" w:type="dxa"/>
            <w:shd w:val="clear" w:color="auto" w:fill="auto"/>
            <w:vAlign w:val="center"/>
          </w:tcPr>
          <w:p w14:paraId="28B3DEA5">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电压表分流</w:t>
            </w:r>
          </w:p>
          <w:p w14:paraId="0FD2A99C">
            <w:pPr>
              <w:pStyle w:val="2"/>
              <w:tabs>
                <w:tab w:val="left" w:pos="3402"/>
              </w:tabs>
              <w:snapToGrid w:val="0"/>
              <w:spacing w:line="360" w:lineRule="auto"/>
              <w:ind w:firstLine="630" w:firstLineChars="300"/>
              <w:jc w:val="both"/>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I</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r>
      <w:tr w14:paraId="401A3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1729" w:type="dxa"/>
            <w:shd w:val="clear" w:color="auto" w:fill="auto"/>
            <w:vAlign w:val="center"/>
          </w:tcPr>
          <w:p w14:paraId="59C86B1D">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电阻测量值</w:t>
            </w:r>
          </w:p>
        </w:tc>
        <w:tc>
          <w:tcPr>
            <w:tcW w:w="3405" w:type="dxa"/>
            <w:shd w:val="clear" w:color="auto" w:fill="auto"/>
            <w:vAlign w:val="center"/>
          </w:tcPr>
          <w:p w14:paraId="51168A20">
            <w:pPr>
              <w:pStyle w:val="2"/>
              <w:tabs>
                <w:tab w:val="left" w:pos="3402"/>
              </w:tabs>
              <w:snapToGrid w:val="0"/>
              <w:spacing w:line="36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u w:val="single"/>
                <w:vertAlign w:val="subscript"/>
                <w:lang w:val="en-US" w:eastAsia="zh-CN"/>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6E4F2F42">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c>
          <w:tcPr>
            <w:tcW w:w="3025" w:type="dxa"/>
            <w:shd w:val="clear" w:color="auto" w:fill="auto"/>
            <w:vAlign w:val="center"/>
          </w:tcPr>
          <w:p w14:paraId="2E07DB1B">
            <w:pPr>
              <w:pStyle w:val="2"/>
              <w:tabs>
                <w:tab w:val="left" w:pos="3402"/>
              </w:tabs>
              <w:snapToGrid w:val="0"/>
              <w:spacing w:line="36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6781812F">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r>
      <w:tr w14:paraId="0A9A6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shd w:val="clear" w:color="auto" w:fill="auto"/>
            <w:vAlign w:val="center"/>
          </w:tcPr>
          <w:p w14:paraId="4E9417A1">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适用于测量</w:t>
            </w:r>
          </w:p>
        </w:tc>
        <w:tc>
          <w:tcPr>
            <w:tcW w:w="3405" w:type="dxa"/>
            <w:shd w:val="clear" w:color="auto" w:fill="auto"/>
            <w:vAlign w:val="center"/>
          </w:tcPr>
          <w:p w14:paraId="237C1BC2">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大阻值电阻</w:t>
            </w:r>
          </w:p>
        </w:tc>
        <w:tc>
          <w:tcPr>
            <w:tcW w:w="3025" w:type="dxa"/>
            <w:shd w:val="clear" w:color="auto" w:fill="auto"/>
            <w:vAlign w:val="center"/>
          </w:tcPr>
          <w:p w14:paraId="3C2675FA">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小阻值电阻</w:t>
            </w:r>
          </w:p>
        </w:tc>
      </w:tr>
      <w:tr w14:paraId="6972D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29" w:type="dxa"/>
            <w:shd w:val="clear" w:color="auto" w:fill="auto"/>
            <w:vAlign w:val="center"/>
          </w:tcPr>
          <w:p w14:paraId="0F7A4B1B">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两种电路</w:t>
            </w:r>
          </w:p>
          <w:p w14:paraId="6FC43AF7">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选择标准</w:t>
            </w:r>
          </w:p>
        </w:tc>
        <w:tc>
          <w:tcPr>
            <w:tcW w:w="6430" w:type="dxa"/>
            <w:gridSpan w:val="2"/>
            <w:shd w:val="clear" w:color="auto" w:fill="auto"/>
            <w:vAlign w:val="center"/>
          </w:tcPr>
          <w:p w14:paraId="73180FB6">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lang w:val="en-US" w:eastAsia="zh-CN"/>
              </w:rPr>
              <w:t>远小于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&gt;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p w14:paraId="3CC40FA7">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V</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&lt;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tc>
      </w:tr>
    </w:tbl>
    <w:p w14:paraId="30EE618B">
      <w:pPr>
        <w:pStyle w:val="2"/>
        <w:tabs>
          <w:tab w:val="left" w:pos="3402"/>
        </w:tabs>
        <w:snapToGrid w:val="0"/>
        <w:spacing w:line="360" w:lineRule="auto"/>
        <w:rPr>
          <w:rFonts w:hint="default" w:ascii="Times New Roman" w:hAnsi="Times New Roman" w:cs="Times New Roman" w:eastAsiaTheme="minorEastAsia"/>
          <w:sz w:val="21"/>
          <w:szCs w:val="21"/>
        </w:rPr>
      </w:pPr>
    </w:p>
    <w:p w14:paraId="7CB67E4A">
      <w:pPr>
        <w:pStyle w:val="2"/>
        <w:numPr>
          <w:ilvl w:val="0"/>
          <w:numId w:val="0"/>
        </w:numPr>
        <w:tabs>
          <w:tab w:val="left" w:pos="3402"/>
        </w:tabs>
        <w:snapToGrid w:val="0"/>
        <w:spacing w:line="360" w:lineRule="auto"/>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eastAsiaTheme="minorEastAsia"/>
          <w:sz w:val="21"/>
          <w:szCs w:val="21"/>
        </w:rPr>
        <w:t>滑动变阻器</w:t>
      </w:r>
      <w:r>
        <w:rPr>
          <w:rFonts w:hint="eastAsia" w:ascii="Times New Roman" w:hAnsi="Times New Roman" w:cs="Times New Roman"/>
          <w:sz w:val="21"/>
          <w:szCs w:val="21"/>
          <w:lang w:val="en-US" w:eastAsia="zh-CN"/>
        </w:rPr>
        <w:t>的使用</w:t>
      </w:r>
    </w:p>
    <w:p w14:paraId="53390FF9">
      <w:pPr>
        <w:pStyle w:val="2"/>
        <w:numPr>
          <w:ilvl w:val="0"/>
          <w:numId w:val="0"/>
        </w:numPr>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滑动变阻器两种连接方式的对比</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1999"/>
        <w:gridCol w:w="2064"/>
        <w:gridCol w:w="1916"/>
      </w:tblGrid>
      <w:tr w14:paraId="711F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240" w:type="dxa"/>
            <w:tcBorders>
              <w:tl2br w:val="single" w:color="auto" w:sz="4" w:space="0"/>
            </w:tcBorders>
            <w:shd w:val="clear" w:color="auto" w:fill="auto"/>
            <w:vAlign w:val="center"/>
          </w:tcPr>
          <w:p w14:paraId="6DEDACFE">
            <w:pPr>
              <w:pStyle w:val="2"/>
              <w:tabs>
                <w:tab w:val="left" w:pos="3402"/>
              </w:tabs>
              <w:snapToGrid w:val="0"/>
              <w:spacing w:line="360" w:lineRule="auto"/>
              <w:jc w:val="center"/>
              <w:rPr>
                <w:rFonts w:hint="default" w:ascii="Times New Roman" w:hAnsi="Times New Roman" w:cs="Times New Roman" w:eastAsiaTheme="minorEastAsia"/>
                <w:i/>
                <w:sz w:val="21"/>
                <w:szCs w:val="21"/>
              </w:rPr>
            </w:pPr>
          </w:p>
        </w:tc>
        <w:tc>
          <w:tcPr>
            <w:tcW w:w="1999" w:type="dxa"/>
            <w:shd w:val="clear" w:color="auto" w:fill="auto"/>
            <w:vAlign w:val="center"/>
          </w:tcPr>
          <w:p w14:paraId="2BCC7940">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限流接法</w:t>
            </w:r>
          </w:p>
        </w:tc>
        <w:tc>
          <w:tcPr>
            <w:tcW w:w="2064" w:type="dxa"/>
            <w:shd w:val="clear" w:color="auto" w:fill="auto"/>
            <w:vAlign w:val="center"/>
          </w:tcPr>
          <w:p w14:paraId="16D90462">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分压接法</w:t>
            </w:r>
          </w:p>
        </w:tc>
        <w:tc>
          <w:tcPr>
            <w:tcW w:w="1916" w:type="dxa"/>
            <w:shd w:val="clear" w:color="auto" w:fill="auto"/>
            <w:vAlign w:val="center"/>
          </w:tcPr>
          <w:p w14:paraId="24D8E111">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对比说明</w:t>
            </w:r>
          </w:p>
        </w:tc>
      </w:tr>
      <w:tr w14:paraId="14658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2240" w:type="dxa"/>
            <w:shd w:val="clear" w:color="auto" w:fill="auto"/>
            <w:vAlign w:val="center"/>
          </w:tcPr>
          <w:p w14:paraId="113A6FE3">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1999" w:type="dxa"/>
            <w:shd w:val="clear" w:color="auto" w:fill="auto"/>
            <w:vAlign w:val="center"/>
          </w:tcPr>
          <w:p w14:paraId="48ABDA12">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28650"/>
                  <wp:effectExtent l="0" t="0" r="9525" b="0"/>
                  <wp:docPr id="86"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93"/>
                          <pic:cNvPicPr>
                            <a:picLocks noChangeAspect="1"/>
                          </pic:cNvPicPr>
                        </pic:nvPicPr>
                        <pic:blipFill>
                          <a:blip r:embed="rId8"/>
                          <a:stretch>
                            <a:fillRect/>
                          </a:stretch>
                        </pic:blipFill>
                        <pic:spPr>
                          <a:xfrm>
                            <a:off x="0" y="0"/>
                            <a:ext cx="885825" cy="628650"/>
                          </a:xfrm>
                          <a:prstGeom prst="rect">
                            <a:avLst/>
                          </a:prstGeom>
                          <a:noFill/>
                          <a:ln>
                            <a:noFill/>
                          </a:ln>
                        </pic:spPr>
                      </pic:pic>
                    </a:graphicData>
                  </a:graphic>
                </wp:inline>
              </w:drawing>
            </w:r>
          </w:p>
        </w:tc>
        <w:tc>
          <w:tcPr>
            <w:tcW w:w="2064" w:type="dxa"/>
            <w:shd w:val="clear" w:color="auto" w:fill="auto"/>
            <w:vAlign w:val="center"/>
          </w:tcPr>
          <w:p w14:paraId="5FB2B5B8">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85800"/>
                  <wp:effectExtent l="0" t="0" r="9525" b="0"/>
                  <wp:docPr id="3" name="图片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94"/>
                          <pic:cNvPicPr>
                            <a:picLocks noChangeAspect="1"/>
                          </pic:cNvPicPr>
                        </pic:nvPicPr>
                        <pic:blipFill>
                          <a:blip r:embed="rId9"/>
                          <a:stretch>
                            <a:fillRect/>
                          </a:stretch>
                        </pic:blipFill>
                        <pic:spPr>
                          <a:xfrm>
                            <a:off x="0" y="0"/>
                            <a:ext cx="885825" cy="685800"/>
                          </a:xfrm>
                          <a:prstGeom prst="rect">
                            <a:avLst/>
                          </a:prstGeom>
                          <a:noFill/>
                          <a:ln>
                            <a:noFill/>
                          </a:ln>
                        </pic:spPr>
                      </pic:pic>
                    </a:graphicData>
                  </a:graphic>
                </wp:inline>
              </w:drawing>
            </w:r>
          </w:p>
        </w:tc>
        <w:tc>
          <w:tcPr>
            <w:tcW w:w="1916" w:type="dxa"/>
            <w:shd w:val="clear" w:color="auto" w:fill="auto"/>
            <w:vAlign w:val="center"/>
          </w:tcPr>
          <w:p w14:paraId="4DCDAAA6">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串、并联关</w:t>
            </w:r>
          </w:p>
          <w:p w14:paraId="71C8E50D">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系不同</w:t>
            </w:r>
          </w:p>
        </w:tc>
      </w:tr>
      <w:tr w14:paraId="5D661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2240" w:type="dxa"/>
            <w:shd w:val="clear" w:color="auto" w:fill="auto"/>
            <w:vAlign w:val="center"/>
          </w:tcPr>
          <w:p w14:paraId="4BFB4C6D">
            <w:pPr>
              <w:pStyle w:val="2"/>
              <w:tabs>
                <w:tab w:val="left" w:pos="3402"/>
              </w:tabs>
              <w:snapToGrid w:val="0"/>
              <w:spacing w:line="360" w:lineRule="auto"/>
              <w:jc w:val="left"/>
              <w:rPr>
                <w:rFonts w:hint="default" w:ascii="Times New Roman" w:hAnsi="Times New Roman" w:cs="Times New Roman" w:eastAsiaTheme="minorEastAsia"/>
                <w:i/>
                <w:sz w:val="21"/>
                <w:szCs w:val="21"/>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rPr>
              <w:t>上电压调节范围(不计电源内阻)</w:t>
            </w:r>
          </w:p>
        </w:tc>
        <w:tc>
          <w:tcPr>
            <w:tcW w:w="1999" w:type="dxa"/>
            <w:shd w:val="clear" w:color="auto" w:fill="auto"/>
            <w:vAlign w:val="center"/>
          </w:tcPr>
          <w:p w14:paraId="4D115341">
            <w:pPr>
              <w:pStyle w:val="2"/>
              <w:tabs>
                <w:tab w:val="left" w:pos="3402"/>
              </w:tabs>
              <w:snapToGrid w:val="0"/>
              <w:spacing w:line="36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sz w:val="21"/>
                <w:szCs w:val="21"/>
                <w:lang w:val="en-US" w:eastAsia="zh-CN"/>
              </w:rPr>
              <w:t xml:space="preserve"> </w:t>
            </w:r>
          </w:p>
        </w:tc>
        <w:tc>
          <w:tcPr>
            <w:tcW w:w="2064" w:type="dxa"/>
            <w:shd w:val="clear" w:color="auto" w:fill="auto"/>
            <w:vAlign w:val="center"/>
          </w:tcPr>
          <w:p w14:paraId="6D8568EE">
            <w:pPr>
              <w:pStyle w:val="2"/>
              <w:tabs>
                <w:tab w:val="left" w:pos="3402"/>
              </w:tabs>
              <w:snapToGrid w:val="0"/>
              <w:spacing w:line="36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i/>
                <w:sz w:val="21"/>
                <w:szCs w:val="21"/>
                <w:u w:val="single"/>
                <w:lang w:val="en-US" w:eastAsia="zh-CN"/>
              </w:rPr>
              <w:t xml:space="preserve">  </w:t>
            </w:r>
          </w:p>
        </w:tc>
        <w:tc>
          <w:tcPr>
            <w:tcW w:w="1916" w:type="dxa"/>
            <w:shd w:val="clear" w:color="auto" w:fill="auto"/>
            <w:vAlign w:val="center"/>
          </w:tcPr>
          <w:p w14:paraId="48FAD20C">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分压电路调节范围大</w:t>
            </w:r>
          </w:p>
        </w:tc>
      </w:tr>
      <w:tr w14:paraId="0F8A0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40" w:type="dxa"/>
            <w:shd w:val="clear" w:color="auto" w:fill="auto"/>
            <w:vAlign w:val="center"/>
          </w:tcPr>
          <w:p w14:paraId="0D8C3E62">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闭合S前触头位置</w:t>
            </w:r>
          </w:p>
        </w:tc>
        <w:tc>
          <w:tcPr>
            <w:tcW w:w="1999" w:type="dxa"/>
            <w:shd w:val="clear" w:color="auto" w:fill="auto"/>
            <w:vAlign w:val="center"/>
          </w:tcPr>
          <w:p w14:paraId="14F44D54">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eastAsia" w:ascii="Times New Roman" w:hAnsi="Times New Roman" w:cs="Times New Roman"/>
                <w:b w:val="0"/>
                <w:bCs w:val="0"/>
                <w:i/>
                <w:sz w:val="21"/>
                <w:szCs w:val="21"/>
                <w:u w:val="single"/>
                <w:lang w:val="en-US" w:eastAsia="zh-CN"/>
              </w:rPr>
              <w:t xml:space="preserve">  </w:t>
            </w: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2064" w:type="dxa"/>
            <w:shd w:val="clear" w:color="auto" w:fill="auto"/>
            <w:vAlign w:val="center"/>
          </w:tcPr>
          <w:p w14:paraId="2CF0354E">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1916" w:type="dxa"/>
            <w:shd w:val="clear" w:color="auto" w:fill="auto"/>
            <w:vAlign w:val="center"/>
          </w:tcPr>
          <w:p w14:paraId="1B4132FA">
            <w:pPr>
              <w:pStyle w:val="2"/>
              <w:tabs>
                <w:tab w:val="left" w:pos="3402"/>
              </w:tabs>
              <w:snapToGrid w:val="0"/>
              <w:spacing w:line="360" w:lineRule="auto"/>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都是为了保护电路元件</w:t>
            </w:r>
            <w:r>
              <w:rPr>
                <w:rFonts w:hint="eastAsia" w:ascii="Times New Roman" w:hAnsi="Times New Roman" w:cs="Times New Roman"/>
                <w:sz w:val="21"/>
                <w:szCs w:val="21"/>
                <w:lang w:eastAsia="zh-CN"/>
              </w:rPr>
              <w:t>想</w:t>
            </w:r>
            <w:r>
              <w:rPr>
                <w:rFonts w:hint="eastAsia" w:ascii="Times New Roman" w:hAnsi="Times New Roman" w:cs="Times New Roman"/>
                <w:sz w:val="21"/>
                <w:szCs w:val="21"/>
                <w:lang w:val="en-US" w:eastAsia="zh-CN"/>
              </w:rPr>
              <w:t xml:space="preserve">                                                                                                                                                                                                                                                                                                                                                                                                                                                                                                                                                                                                                                                                                                                                                                                                                                                                                                                                                                                                                                                                                                                                                                                                                                                                                                                                                                                                                                                                                                </w:t>
            </w:r>
          </w:p>
        </w:tc>
      </w:tr>
    </w:tbl>
    <w:p w14:paraId="456AA3CC">
      <w:pPr>
        <w:pStyle w:val="2"/>
        <w:tabs>
          <w:tab w:val="left" w:pos="3402"/>
        </w:tabs>
        <w:snapToGrid w:val="0"/>
        <w:spacing w:line="360" w:lineRule="auto"/>
        <w:rPr>
          <w:rFonts w:hint="default" w:ascii="Times New Roman" w:hAnsi="Times New Roman" w:cs="Times New Roman" w:eastAsiaTheme="minorEastAsia"/>
          <w:sz w:val="21"/>
          <w:szCs w:val="21"/>
        </w:rPr>
      </w:pPr>
    </w:p>
    <w:p w14:paraId="3902218F">
      <w:pPr>
        <w:pStyle w:val="2"/>
        <w:tabs>
          <w:tab w:val="left" w:pos="3402"/>
        </w:tabs>
        <w:snapToGrid w:val="0"/>
        <w:spacing w:line="360" w:lineRule="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滑动变阻器两种接法的选择</w:t>
      </w:r>
    </w:p>
    <w:p w14:paraId="6810C10B">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hint="default" w:ascii="Times New Roman" w:hAnsi="Times New Roman" w:cs="Times New Roman" w:eastAsiaTheme="minorEastAsia"/>
          <w:sz w:val="21"/>
          <w:szCs w:val="21"/>
        </w:rPr>
        <w:t>滑动变阻器的最大阻值和用电器的阻值差不多且不要求电压从零开始变化，通常情况下，由于限流式结构简单、耗能少，优先使用限流式</w:t>
      </w:r>
      <w:r>
        <w:rPr>
          <w:rFonts w:hint="eastAsia" w:ascii="Times New Roman" w:hAnsi="Times New Roman" w:cs="Times New Roman"/>
          <w:sz w:val="21"/>
          <w:szCs w:val="21"/>
          <w:lang w:eastAsia="zh-CN"/>
        </w:rPr>
        <w:t>。</w:t>
      </w:r>
    </w:p>
    <w:p w14:paraId="116778C2">
      <w:pPr>
        <w:pStyle w:val="2"/>
        <w:tabs>
          <w:tab w:val="left" w:pos="3402"/>
        </w:tabs>
        <w:snapToGrid w:val="0"/>
        <w:spacing w:line="360" w:lineRule="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val="en-US" w:eastAsia="zh-CN"/>
        </w:rPr>
        <w:t>②</w:t>
      </w:r>
      <w:r>
        <w:rPr>
          <w:rFonts w:hint="default" w:ascii="Times New Roman" w:hAnsi="Times New Roman" w:cs="Times New Roman" w:eastAsiaTheme="minorEastAsia"/>
          <w:sz w:val="21"/>
          <w:szCs w:val="21"/>
        </w:rPr>
        <w:t>滑动变阻器必须接成分压电路的几种情况：</w:t>
      </w:r>
    </w:p>
    <w:p w14:paraId="59D9E4E1">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a.</w:t>
      </w:r>
      <w:r>
        <w:rPr>
          <w:rFonts w:hint="default" w:ascii="Times New Roman" w:hAnsi="Times New Roman" w:cs="Times New Roman" w:eastAsiaTheme="minorEastAsia"/>
          <w:sz w:val="21"/>
          <w:szCs w:val="21"/>
        </w:rPr>
        <w:t>要求电压表能从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开始读数，要求电压</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电流</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测量范围尽可能大</w:t>
      </w:r>
      <w:r>
        <w:rPr>
          <w:rFonts w:hint="eastAsia" w:ascii="Times New Roman" w:hAnsi="Times New Roman" w:cs="Times New Roman"/>
          <w:sz w:val="21"/>
          <w:szCs w:val="21"/>
          <w:lang w:eastAsia="zh-CN"/>
        </w:rPr>
        <w:t>；</w:t>
      </w:r>
    </w:p>
    <w:p w14:paraId="4FE13234">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b.</w:t>
      </w:r>
      <w:r>
        <w:rPr>
          <w:rFonts w:hint="default" w:ascii="Times New Roman" w:hAnsi="Times New Roman" w:cs="Times New Roman" w:eastAsiaTheme="minorEastAsia"/>
          <w:sz w:val="21"/>
          <w:szCs w:val="21"/>
        </w:rPr>
        <w:t>当待测电阻</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滑动变阻器的最大阻值</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时</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限流式接法滑动变阻器几乎不起作用</w:t>
      </w:r>
      <w:r>
        <w:rPr>
          <w:rFonts w:hint="eastAsia" w:ascii="Times New Roman" w:hAnsi="Times New Roman" w:cs="Times New Roman"/>
          <w:sz w:val="21"/>
          <w:szCs w:val="21"/>
          <w:lang w:eastAsia="zh-CN"/>
        </w:rPr>
        <w:t>）；</w:t>
      </w:r>
    </w:p>
    <w:p w14:paraId="139F9806">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c.</w:t>
      </w:r>
      <w:r>
        <w:rPr>
          <w:rFonts w:hint="default" w:ascii="Times New Roman" w:hAnsi="Times New Roman" w:cs="Times New Roman" w:eastAsiaTheme="minorEastAsia"/>
          <w:sz w:val="21"/>
          <w:szCs w:val="21"/>
        </w:rPr>
        <w:t>若采用限流式接法，电路中的最小电流仍超过电路中电表、电阻允许的最大电流</w:t>
      </w:r>
      <w:r>
        <w:rPr>
          <w:rFonts w:hint="eastAsia" w:ascii="Times New Roman" w:hAnsi="Times New Roman" w:cs="Times New Roman"/>
          <w:sz w:val="21"/>
          <w:szCs w:val="21"/>
          <w:lang w:eastAsia="zh-CN"/>
        </w:rPr>
        <w:t>。</w:t>
      </w:r>
    </w:p>
    <w:p w14:paraId="7DD13B7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xml:space="preserve">滑动变阻器的选择 </w:t>
      </w:r>
    </w:p>
    <w:p w14:paraId="729B387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r>
        <w:rPr>
          <w:rFonts w:hint="default" w:ascii="Times New Roman" w:hAnsi="Times New Roman" w:cs="Times New Roman"/>
          <w:sz w:val="21"/>
          <w:szCs w:val="21"/>
        </w:rPr>
        <w:t>（1）若滑动变阻器采用限流式接法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则应选择最大阻值比被测电阻大且与被测电阻阻值相差不大的滑动变阻器</w:t>
      </w:r>
      <w:r>
        <w:rPr>
          <w:rFonts w:hint="eastAsia" w:ascii="Times New Roman" w:hAnsi="Times New Roman" w:cs="Times New Roman"/>
          <w:sz w:val="21"/>
          <w:szCs w:val="21"/>
          <w:lang w:eastAsia="zh-CN"/>
        </w:rPr>
        <w:t>。</w:t>
      </w:r>
    </w:p>
    <w:p w14:paraId="5DD496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sz w:val="21"/>
          <w:szCs w:val="21"/>
        </w:rPr>
        <w:t>若滑动变阻器采用分压式接法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则应选择最大阻值较小的滑动变阻器</w:t>
      </w:r>
      <w:r>
        <w:rPr>
          <w:rFonts w:hint="eastAsia" w:ascii="Times New Roman" w:hAnsi="Times New Roman" w:cs="Times New Roman"/>
          <w:sz w:val="21"/>
          <w:szCs w:val="21"/>
          <w:lang w:eastAsia="zh-CN"/>
        </w:rPr>
        <w:t>。</w:t>
      </w:r>
    </w:p>
    <w:p w14:paraId="076F527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p>
    <w:p w14:paraId="63C44FA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示例</w:t>
      </w:r>
    </w:p>
    <w:p w14:paraId="48436BA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1.图</w:t>
      </w:r>
      <w:r>
        <w:rPr>
          <w:rFonts w:hint="eastAsia" w:ascii="Times New Roman" w:hAnsi="Times New Roman" w:cs="Times New Roman"/>
          <w:sz w:val="21"/>
          <w:szCs w:val="21"/>
          <w:lang w:val="en-US" w:eastAsia="zh-CN"/>
        </w:rPr>
        <w:t>甲</w:t>
      </w:r>
      <w:r>
        <w:rPr>
          <w:rFonts w:hint="default" w:ascii="Times New Roman" w:hAnsi="Times New Roman" w:cs="Times New Roman" w:eastAsiaTheme="minorEastAsia"/>
          <w:sz w:val="21"/>
          <w:szCs w:val="21"/>
        </w:rPr>
        <w:t>为</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分压式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限流式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接法，图</w:t>
      </w:r>
      <w:r>
        <w:rPr>
          <w:rFonts w:hint="eastAsia" w:ascii="Times New Roman" w:hAnsi="Times New Roman" w:cs="Times New Roman"/>
          <w:sz w:val="21"/>
          <w:szCs w:val="21"/>
          <w:lang w:val="en-US" w:eastAsia="zh-CN"/>
        </w:rPr>
        <w:t>乙</w:t>
      </w:r>
      <w:r>
        <w:rPr>
          <w:rFonts w:hint="default" w:ascii="Times New Roman" w:hAnsi="Times New Roman" w:cs="Times New Roman" w:eastAsiaTheme="minorEastAsia"/>
          <w:sz w:val="21"/>
          <w:szCs w:val="21"/>
        </w:rPr>
        <w:t>为</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分压式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限流式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图</w:t>
      </w:r>
      <w:r>
        <w:rPr>
          <w:rFonts w:hint="eastAsia" w:ascii="Times New Roman" w:hAnsi="Times New Roman" w:cs="Times New Roman"/>
          <w:sz w:val="21"/>
          <w:szCs w:val="21"/>
          <w:lang w:val="en-US" w:eastAsia="zh-CN"/>
        </w:rPr>
        <w:t>甲</w:t>
      </w:r>
      <w:r>
        <w:rPr>
          <w:rFonts w:hint="default" w:ascii="Times New Roman" w:hAnsi="Times New Roman" w:cs="Times New Roman" w:eastAsiaTheme="minorEastAsia"/>
          <w:sz w:val="21"/>
          <w:szCs w:val="21"/>
        </w:rPr>
        <w:t>闭合开关前，滑片应该滑到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a</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b</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端，图</w:t>
      </w:r>
      <w:r>
        <w:rPr>
          <w:rFonts w:hint="eastAsia" w:ascii="Times New Roman" w:hAnsi="Times New Roman" w:cs="Times New Roman"/>
          <w:sz w:val="21"/>
          <w:szCs w:val="21"/>
          <w:lang w:val="en-US" w:eastAsia="zh-CN"/>
        </w:rPr>
        <w:t>乙</w:t>
      </w:r>
      <w:r>
        <w:rPr>
          <w:rFonts w:hint="default" w:ascii="Times New Roman" w:hAnsi="Times New Roman" w:cs="Times New Roman" w:eastAsiaTheme="minorEastAsia"/>
          <w:sz w:val="21"/>
          <w:szCs w:val="21"/>
        </w:rPr>
        <w:t>闭合开关前，滑片应该滑到</w:t>
      </w:r>
      <w:r>
        <w:rPr>
          <w:rFonts w:hint="default" w:ascii="Times New Roman" w:hAnsi="Times New Roman" w:cs="Times New Roman" w:eastAsiaTheme="minorEastAsia"/>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a</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b</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w:t>
      </w:r>
    </w:p>
    <w:p w14:paraId="69890F7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2.当</w:t>
      </w:r>
      <w:r>
        <w:rPr>
          <w:rFonts w:hint="default" w:ascii="Times New Roman" w:hAnsi="Times New Roman" w:cs="Times New Roman" w:eastAsiaTheme="minorEastAsia"/>
          <w:i/>
          <w:iCs/>
          <w:sz w:val="21"/>
          <w:szCs w:val="21"/>
        </w:rPr>
        <w:t xml:space="preserve"> E </w:t>
      </w:r>
      <w:r>
        <w:rPr>
          <w:rFonts w:hint="default" w:ascii="Times New Roman" w:hAnsi="Times New Roman" w:cs="Times New Roman" w:eastAsiaTheme="minorEastAsia"/>
          <w:sz w:val="21"/>
          <w:szCs w:val="21"/>
        </w:rPr>
        <w:t>=3V，</w:t>
      </w:r>
      <w:r>
        <w:rPr>
          <w:rFonts w:hint="default" w:ascii="Times New Roman" w:hAnsi="Times New Roman" w:cs="Times New Roman" w:eastAsiaTheme="minorEastAsia"/>
          <w:i/>
          <w:iCs/>
          <w:sz w:val="21"/>
          <w:szCs w:val="21"/>
        </w:rPr>
        <w:t xml:space="preserve">r </w:t>
      </w:r>
      <w:r>
        <w:rPr>
          <w:rFonts w:hint="default" w:ascii="Times New Roman" w:hAnsi="Times New Roman" w:cs="Times New Roman" w:eastAsiaTheme="minorEastAsia"/>
          <w:sz w:val="21"/>
          <w:szCs w:val="21"/>
        </w:rPr>
        <w:t>=0</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Ω，</w:t>
      </w:r>
      <w:r>
        <w:rPr>
          <w:rFonts w:hint="default" w:ascii="Times New Roman" w:hAnsi="Times New Roman" w:cs="Times New Roman" w:eastAsiaTheme="minorEastAsia"/>
          <w:i/>
          <w:iCs/>
          <w:sz w:val="21"/>
          <w:szCs w:val="21"/>
        </w:rPr>
        <w:t>R</w:t>
      </w:r>
      <w:r>
        <w:rPr>
          <w:rFonts w:hint="default" w:ascii="Times New Roman" w:hAnsi="Times New Roman" w:cs="Times New Roman" w:eastAsiaTheme="minorEastAsia"/>
          <w:sz w:val="21"/>
          <w:szCs w:val="21"/>
          <w:vertAlign w:val="subscript"/>
        </w:rPr>
        <w:t>0</w:t>
      </w:r>
      <w:r>
        <w:rPr>
          <w:rFonts w:hint="default" w:ascii="Times New Roman" w:hAnsi="Times New Roman" w:cs="Times New Roman" w:eastAsiaTheme="minorEastAsia"/>
          <w:sz w:val="21"/>
          <w:szCs w:val="21"/>
        </w:rPr>
        <w:t xml:space="preserve"> =100Ω，</w:t>
      </w:r>
      <w:r>
        <w:rPr>
          <w:rFonts w:hint="default" w:ascii="Times New Roman" w:hAnsi="Times New Roman" w:cs="Times New Roman" w:eastAsiaTheme="minorEastAsia"/>
          <w:i/>
          <w:iCs/>
          <w:sz w:val="21"/>
          <w:szCs w:val="21"/>
        </w:rPr>
        <w:t>R</w:t>
      </w:r>
      <w:r>
        <w:rPr>
          <w:rFonts w:hint="default" w:ascii="Times New Roman" w:hAnsi="Times New Roman" w:cs="Times New Roman" w:eastAsiaTheme="minorEastAsia"/>
          <w:sz w:val="21"/>
          <w:szCs w:val="21"/>
          <w:vertAlign w:val="subscript"/>
        </w:rPr>
        <w:t>L</w:t>
      </w:r>
      <w:r>
        <w:rPr>
          <w:rFonts w:hint="default" w:ascii="Times New Roman" w:hAnsi="Times New Roman" w:cs="Times New Roman" w:eastAsiaTheme="minorEastAsia"/>
          <w:sz w:val="21"/>
          <w:szCs w:val="21"/>
        </w:rPr>
        <w:t xml:space="preserve"> =50Ω时，图</w:t>
      </w:r>
      <w:r>
        <w:rPr>
          <w:rFonts w:hint="eastAsia" w:ascii="Times New Roman" w:hAnsi="Times New Roman" w:cs="Times New Roman"/>
          <w:sz w:val="21"/>
          <w:szCs w:val="21"/>
          <w:lang w:val="en-US" w:eastAsia="zh-CN"/>
        </w:rPr>
        <w:t>甲</w:t>
      </w:r>
      <w:r>
        <w:rPr>
          <w:rFonts w:hint="default" w:ascii="Times New Roman" w:hAnsi="Times New Roman" w:cs="Times New Roman" w:eastAsiaTheme="minorEastAsia"/>
          <w:sz w:val="21"/>
          <w:szCs w:val="21"/>
        </w:rPr>
        <w:t>电压调节范围是</w:t>
      </w:r>
      <w:r>
        <w:rPr>
          <w:rFonts w:hint="default" w:ascii="Times New Roman" w:hAnsi="Times New Roman" w:cs="Times New Roman" w:eastAsiaTheme="minorEastAsia"/>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V，图</w:t>
      </w:r>
      <w:r>
        <w:rPr>
          <w:rFonts w:hint="eastAsia" w:ascii="Times New Roman" w:hAnsi="Times New Roman" w:cs="Times New Roman"/>
          <w:sz w:val="21"/>
          <w:szCs w:val="21"/>
          <w:lang w:val="en-US" w:eastAsia="zh-CN"/>
        </w:rPr>
        <w:t>乙</w:t>
      </w:r>
      <w:r>
        <w:rPr>
          <w:rFonts w:hint="default" w:ascii="Times New Roman" w:hAnsi="Times New Roman" w:cs="Times New Roman" w:eastAsiaTheme="minorEastAsia"/>
          <w:sz w:val="21"/>
          <w:szCs w:val="21"/>
        </w:rPr>
        <w:t>电压调节范围是</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w:t>
      </w:r>
    </w:p>
    <w:p w14:paraId="479024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1"/>
          <w:szCs w:val="21"/>
        </w:rPr>
      </w:pPr>
      <w:r>
        <w:rPr>
          <w:rFonts w:hint="eastAsia" w:ascii="Times New Roman" w:hAnsi="Times New Roman" w:cs="Times New Roman"/>
          <w:sz w:val="1"/>
          <w:lang w:eastAsia="zh-CN"/>
        </w:rPr>
        <w:t>、</w:t>
      </w:r>
      <w:r>
        <w:rPr>
          <w:rFonts w:hint="default" w:ascii="Times New Roman" w:hAnsi="Times New Roman" w:cs="Times New Roman" w:eastAsiaTheme="minorEastAsia"/>
          <w:sz w:val="21"/>
          <w:szCs w:val="21"/>
        </w:rPr>
        <w:drawing>
          <wp:inline distT="0" distB="0" distL="114300" distR="114300">
            <wp:extent cx="3242945" cy="1522095"/>
            <wp:effectExtent l="0" t="0" r="14605" b="1905"/>
            <wp:docPr id="6" name="图片 6" descr="QQ截图20250718175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QQ截图20250718175929"/>
                    <pic:cNvPicPr>
                      <a:picLocks noChangeAspect="1"/>
                    </pic:cNvPicPr>
                  </pic:nvPicPr>
                  <pic:blipFill>
                    <a:blip r:embed="rId10"/>
                    <a:stretch>
                      <a:fillRect/>
                    </a:stretch>
                  </pic:blipFill>
                  <pic:spPr>
                    <a:xfrm>
                      <a:off x="0" y="0"/>
                      <a:ext cx="3242945" cy="1522095"/>
                    </a:xfrm>
                    <a:prstGeom prst="rect">
                      <a:avLst/>
                    </a:prstGeom>
                  </pic:spPr>
                </pic:pic>
              </a:graphicData>
            </a:graphic>
          </wp:inline>
        </w:drawing>
      </w:r>
    </w:p>
    <w:p w14:paraId="6748375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434F247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7361E2B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155DA0A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4EE74253">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68A5602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49AACB6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10A34AE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034D99F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47F9674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7DAE291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500D23A3">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lang w:val="en-US" w:eastAsia="zh-CN"/>
        </w:rPr>
      </w:pPr>
    </w:p>
    <w:p w14:paraId="1C170D6B">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27F52316"/>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2025-12-23T10:01:01Z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